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1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Unterweisung digitaler Tachograph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Bearbeitbare A4-Vorlage für Vorbereitung, Geräteübung, Verständnischeck und Nachweis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Direkte Arbeitsgrenze: </w:t>
            </w:r>
            <w:r>
              <w:rPr>
                <w:rFonts w:ascii="Calibri" w:hAnsi="Calibri"/>
                <w:color w:val="123B52"/>
                <w:sz w:val="18"/>
              </w:rPr>
              <w:t>Diese Vorlage ist kein amtliches Formular und keine pauschale Fahrfreigabe. Anwendungsbereich, Ausnahmen, Gerätetyp, Einsatzstaaten und betriebliche Abläufe sind fachkundig zu prüfen. Die Bedienungsanleitung des tatsächlich eingesetzten Fahrtenschreibers bleibt erforderlich.</w:t>
            </w:r>
          </w:p>
        </w:tc>
      </w:tr>
    </w:tbl>
    <w:p>
      <w:pPr>
        <w:pStyle w:val="Heading2"/>
      </w:pPr>
      <w:r>
        <w:t>Unternehmensfassung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Unternehmen / Standort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Fuhrpark / Einsatz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Zielgruppe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Fahrer   [ ] Disposition   [ ] Fuhrpark   [ ] Kontrolle / Auswertung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Unterweisung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erstmalig   [ ] neues Gerät   [ ] Regeländerung   [ ] Fehler / Kontrolle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Termin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Datum: __________   Uhrzeit: __________   Dauer: __________   Ort: 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Fassung / Freigabe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Version: __________   freigegeben am: __________   durch: _____________</w:t>
            </w:r>
          </w:p>
        </w:tc>
      </w:tr>
    </w:tbl>
    <w:p>
      <w:pPr>
        <w:pStyle w:val="Heading2"/>
      </w:pPr>
      <w:r>
        <w:t>Rechtlicher Kern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8"/>
        </w:rPr>
        <w:t>Artikel 33 der Verordnung (EU) Nr. 165/2014 verlangt angemessene Schulung und Unterweisung der Fahrer.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8"/>
        </w:rPr>
        <w:t>Das Verkehrsunternehmen führt regelmäßige Kontrollen zur ordnungsgemäßen Benutzung durch.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8"/>
        </w:rPr>
        <w:t>Direkte oder indirekte Anreize zum Missbrauch des Fahrtenschreibers sind unzulässig.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8"/>
        </w:rPr>
        <w:t>Die Verordnung nennt kein starres jährliches Wiederholungsintervall; Änderungen, Gerätewechsel und Fehler sind wichtige Anlässe.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8"/>
        </w:rPr>
        <w:t>Arbeitsschutz-Unterweisung nach § 12 ArbSchG kann zusätzlich relevant sein, ersetzt aber nicht die fahrpersonalrechtliche Fachunterweisung.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FF4E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Stand 11. August 2026: </w:t>
            </w:r>
            <w:r>
              <w:rPr>
                <w:rFonts w:ascii="Calibri" w:hAnsi="Calibri"/>
                <w:color w:val="123B52"/>
                <w:sz w:val="18"/>
              </w:rPr>
              <w:t>Seit 1. Juli 2026 fallen auch bestimmte in der EU zugelassene leichte Nutzfahrzeuge über 2,5 t bis 3,5 t im internationalen Güterverkehr unter die neuen Anforderungen. Der konkrete Anwendungsbereich und Ausnahmen sind vor Nutzung dieser Vorlage separat zu prüfen.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2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Einsatz und Gerät eindeutig festlegen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Eine allgemeine Folienunterweisung genügt nicht, wenn Menüführung, Gerät und Tourprofil abweichen.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Fahrzeug / Kennzeichen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zulässige Gesamtmasse / Nutzung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Verkehr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innerstaatlich   [ ] international   [ ] Kabotage   [ ] Personenverkehr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Gerät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Hersteller / Typ / Softwarestand: 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Generation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digital, nicht smart   [ ] smart V1   [ ] smart V2   [ ] anderes: 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Anleitung / Simulator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Version / Ablage: _____________________________________________________</w:t>
            </w:r>
          </w:p>
        </w:tc>
      </w:tr>
    </w:tbl>
    <w:p>
      <w:pPr>
        <w:pStyle w:val="Heading2"/>
      </w:pPr>
      <w:r>
        <w:t>Prüfung des Anwendungsbereichs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4700"/>
        <w:gridCol w:w="3360"/>
        <w:gridCol w:w="1300"/>
      </w:tblGrid>
      <w:tr>
        <w:trPr>
          <w:tblHeader w:val="true"/>
        </w:trP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Prüffrage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Ergebnis / Grundlage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geprüft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Gilt VO (EG) Nr. 561/2006 oder nationales Fahrpersonalrecht?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Greift eine fahrzeug-, tätigkeits- oder streckenbezogene Ausnahme?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Ist im internationalen Verkehr smart V2 erforderlich?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Sind Miet-, Ersatz- oder Poolfahrzeuge einbezogen?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Welche Staaten, Fähren, Züge oder Grenzübertritte kommen vor?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</w:tbl>
    <w:p>
      <w:pPr>
        <w:pStyle w:val="Heading2"/>
      </w:pPr>
      <w:r>
        <w:t>Unterweisungsmodule auswählen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Fahrerkarte, Kartenslots, Anmeldung und Schutz der Karte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manuelle Nachträge und Tätigkeitsarten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Fahrerwechsel, Mehrfahrerbetrieb und Fahrzeugwechsel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Beginn / Ende Land, Grenzübertritt und Be- / Entladung gerätespezifisch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Ausdrucke, Kontrollen und mitzuführende Aufzeichnungen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Kartenverlust, beschädigte Karte, Störung und Fehlfunktion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Unternehmenskarte, Datendownload, Sicherung und regelmäßige Kontrollen</w:t>
      </w:r>
    </w:p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3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Schichtablauf am echten Gerät üben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Jeder Prüfschritt wird am Fahrzeug, an einem baugleichen Gerät oder an einem geeigneten Simulator gezeigt.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1500"/>
        <w:gridCol w:w="4300"/>
        <w:gridCol w:w="2500"/>
        <w:gridCol w:w="1060"/>
      </w:tblGrid>
      <w:tr>
        <w:trPr>
          <w:tblHeader w:val="true"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Phase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Prüf- und Bedienhandlung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Geräteschritt / Ergebnis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gezeigt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Vor Übernahme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Fahrerkarte, Gültigkeit, Papierrolle und sichtbare Störung prüfen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Karte stecken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richtiger Slot, Fahrer / Beifahrer und Benutzerführung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Nachtrag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fehlende Arbeit, Bereitschaft, Pause oder Ruhe vollständig erfassen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Tagesbeginn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Land und erforderliche Ausgangsdaten bestätigen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Abfahrtskontrolle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tatsächliche Zeit als andere Arbeit korrekt erfassen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Unterwegs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Aktivität, Warnungen, Fahrzeug- und Fahrerwechsel richtig behandeln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Grenze / Ladung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automatische Aufzeichnung oder erforderliche Eingabe am Gerät prüfen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Tagesende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Endland, offene Eingaben, Meldungen und Kartenentnahme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Übergabe</w:t>
            </w:r>
          </w:p>
        </w:tc>
        <w:tc>
          <w:tcPr>
            <w:tcW w:type="dxa" w:w="4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Ausdruck, Hinweis oder Abweichung an zuständige Stelle geben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</w:tbl>
    <w:p>
      <w:pPr>
        <w:pStyle w:val="Heading2"/>
      </w:pPr>
      <w:r>
        <w:t>Tätigkeitsarten sicher zuordnen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300"/>
        <w:gridCol w:w="900"/>
        <w:gridCol w:w="1400"/>
        <w:gridCol w:w="1300"/>
        <w:gridCol w:w="1350"/>
        <w:gridCol w:w="2110"/>
      </w:tblGrid>
      <w:tr>
        <w:trPr>
          <w:tblHeader w:val="true"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Tatsächliche Situation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Lenken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andere Arbeit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Bereitschaft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Pause / Ruhe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Begründung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Abfahrtskontrolle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Be- oder Entladung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Warten mit vorhersehbarer Dauer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Werkstatt- oder Bürotätigkeit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gesetzliche Fahrtunterbrechung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ECFDF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Praxisregel: </w:t>
            </w:r>
            <w:r>
              <w:rPr>
                <w:rFonts w:ascii="Calibri" w:hAnsi="Calibri"/>
                <w:color w:val="123B52"/>
                <w:sz w:val="18"/>
              </w:rPr>
              <w:t>Nicht Symbole auswendig abfragen, sondern reale Tätigkeiten des Betriebs zuordnen. Die unterweisende Person korrigiert anhand der geltenden Regeln und dokumentiert offene Grenzfälle für die Fachprüfung.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4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Nachträge, Wechsel und Kontrolle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Die Teilnehmenden führen mindestens einen vollständigen Nachtrag und einen Kontrollfall selbst durch.</w:t>
      </w:r>
    </w:p>
    <w:p>
      <w:pPr>
        <w:pStyle w:val="Heading2"/>
      </w:pPr>
      <w:r>
        <w:t>Übungsfälle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350"/>
        <w:gridCol w:w="3700"/>
        <w:gridCol w:w="2200"/>
        <w:gridCol w:w="1110"/>
      </w:tblGrid>
      <w:tr>
        <w:trPr>
          <w:tblHeader w:val="true"/>
        </w:trP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Fall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Aufgabe am Gerät / Simulator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Ergebnis / Beobachtung</w:t>
            </w:r>
          </w:p>
        </w:tc>
        <w:tc>
          <w:tcPr>
            <w:tcW w:type="dxa" w:w="1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sicher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Arbeitsbeginn nach Bürotätigkeit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Zeitraum und andere Arbeit vollständig nachtragen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Urlaub oder Ruhe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fehlenden Zeitraum ohne Lücke eintragen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Fahrzeugwechsel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Karte, Kilometer / Land und neuen Gerätestatus prüfen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Mehrfahrerbetrieb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Fahrer- und Beifahrerrolle sowie Slotwechsel erklären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Grenzübertritt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automatische Aufzeichnung erkennen oder Land korrekt eingeben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Be- / Entladung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gerätetypabhängige Eingabe und Standortaufzeichnung prüfen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Straßenkontrolle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Fahrerkarte, Ausdrucke und Aufzeichnungen geordnet vorlegen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Fehleingabe</w:t>
            </w:r>
          </w:p>
        </w:tc>
        <w:tc>
          <w:tcPr>
            <w:tcW w:type="dxa" w:w="3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zulässigen Korrektur- und Dokumentationsweg anwenden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</w:tr>
    </w:tbl>
    <w:p>
      <w:pPr>
        <w:pStyle w:val="Heading2"/>
      </w:pPr>
      <w:r>
        <w:t>56-Tage-Nachweis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FF4E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Aktueller Kontrollzeitraum: </w:t>
            </w:r>
            <w:r>
              <w:rPr>
                <w:rFonts w:ascii="Calibri" w:hAnsi="Calibri"/>
                <w:color w:val="123B52"/>
                <w:sz w:val="18"/>
              </w:rPr>
              <w:t>Seit 31. Dezember 2024 müssen Fahrer bei einer Kontrolle die erforderlichen Aufzeichnungen für den laufenden Tag und die vorausgehenden 56 Tage vorlegen können. Bei älteren Karten- und Gerätekombinationen sind mögliche Speichergrenzen und zulässige ergänzende Nachweise vor dem Einsatz zu klären.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Betrieblicher 56-Tage-Prozess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Ergänzende Ausdrucke / Daten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Zuständige Unterstützung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Ablage im Fahrzeug / Zugriff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</w:tbl>
    <w:p>
      <w:pPr>
        <w:pStyle w:val="Heading2"/>
      </w:pPr>
      <w:r>
        <w:t>Kontrollübung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Fahrerkarte und Identität ohne fremde Karte nachweisen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handschriftliche Aufzeichnungen und Ausdrucke vollständig zuordnen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Lücken sachlich erklären, ohne Daten zu verändern oder zu ergänzen, die nicht zutreffen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betriebliche Kontaktperson und Datenbereitstellung kennen</w:t>
      </w:r>
    </w:p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5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Störung, Kartenverlust und Fehlbedienung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Für Ausnahmefälle gelten feste Rechtsfolgen und gerätespezifische Handlungsschritte.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1900"/>
        <w:gridCol w:w="3300"/>
        <w:gridCol w:w="2500"/>
        <w:gridCol w:w="1660"/>
      </w:tblGrid>
      <w:tr>
        <w:trPr>
          <w:tblHeader w:val="true"/>
        </w:trP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Ereignis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Sofortiger Ablauf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Frist / Nachweis</w:t>
            </w:r>
          </w:p>
        </w:tc>
        <w:tc>
          <w:tcPr>
            <w:tcW w:type="dxa" w:w="1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Betrieblicher Kontakt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Karte beschädigt / Fehlfunktion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Meldung, Anfangs- und Endausdruck, Identität, Zeiten, Unterschrift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Ersatz binnen 7 Kalendertagen beantragen</w:t>
            </w:r>
          </w:p>
        </w:tc>
        <w:tc>
          <w:tcPr>
            <w:tcW w:type="dxa" w:w="1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Karte verloren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Verlust ordnungsgemäß melden; Ausdrucke und Identifikation führen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Ersatz binnen 7 Kalendertagen beantragen</w:t>
            </w:r>
          </w:p>
        </w:tc>
        <w:tc>
          <w:tcPr>
            <w:tcW w:type="dxa" w:w="1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Karte gestohlen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Diebstahl melden; Ausdrucke und Identifikation führen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Ersatz binnen 7 Kalendertagen beantragen</w:t>
            </w:r>
          </w:p>
        </w:tc>
        <w:tc>
          <w:tcPr>
            <w:tcW w:type="dxa" w:w="1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Fahrt ohne Karte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nur unter den gesetzlichen Bedingungen und mit Nachweis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grundsätzlich höchstens 15 Kalendertage</w:t>
            </w:r>
          </w:p>
        </w:tc>
        <w:tc>
          <w:tcPr>
            <w:tcW w:type="dxa" w:w="1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Gerät gestört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Zeiten auf Ausdruck / Schaublatt dokumentieren und Werkstattprozess starten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Reparatur sobald möglich; Unterwegs-Regel prüfen</w:t>
            </w:r>
          </w:p>
        </w:tc>
        <w:tc>
          <w:tcPr>
            <w:tcW w:type="dxa" w:w="1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Papier / Druckproblem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Ersatzrolle, Fehlermeldung und alternativen Nachweis nach Vorgabe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vor Fahrt / Kontrolle klären</w:t>
            </w:r>
          </w:p>
        </w:tc>
        <w:tc>
          <w:tcPr>
            <w:tcW w:type="dxa" w:w="1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Fehleingabe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nicht manipulieren; zulässige Dokumentation und Meldung verwenden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unverzüglich nach Betriebsregel</w:t>
            </w:r>
          </w:p>
        </w:tc>
        <w:tc>
          <w:tcPr>
            <w:tcW w:type="dxa" w:w="1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EF3F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Kartenlose Fahrt: </w:t>
            </w:r>
            <w:r>
              <w:rPr>
                <w:rFonts w:ascii="Calibri" w:hAnsi="Calibri"/>
                <w:color w:val="123B52"/>
                <w:sz w:val="18"/>
              </w:rPr>
              <w:t>Die 15-Tage-Regel ist keine allgemeine Ersatzlösung. Sie betrifft Beschädigung, Fehlfunktion, Verlust oder Diebstahl unter den gesetzlichen Voraussetzungen. Die Unmöglichkeit, die Fahrerkarte vorzulegen oder zu benutzen, muss nachweisbar sein; längere Fahrt ist nur für die erforderliche Rückkehr zum Standort vorgesehen.</w:t>
            </w:r>
          </w:p>
        </w:tc>
      </w:tr>
    </w:tbl>
    <w:p>
      <w:pPr>
        <w:pStyle w:val="Heading2"/>
      </w:pPr>
      <w:r>
        <w:t>Betriebliche Notfallkarte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Disposition / Fuhrpark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Telefon: __________________________   erreichbar: 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zugelassene Werkstatt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Name / Telefon: 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Kartenausgabestelle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Ablage Ausdruckpapier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Melde- und Dokumentationsweg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</w:tbl>
    <w:p>
      <w:pPr>
        <w:pStyle w:val="Heading2"/>
      </w:pPr>
      <w:r>
        <w:t>Praktischer Ausdruck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3900"/>
        <w:gridCol w:w="1100"/>
        <w:gridCol w:w="1450"/>
        <w:gridCol w:w="2910"/>
      </w:tblGrid>
      <w:tr>
        <w:trPr>
          <w:tblHeader w:val="true"/>
        </w:trP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Prüfschritt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korrekt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erneut üben</w:t>
            </w:r>
          </w:p>
        </w:tc>
        <w:tc>
          <w:tcPr>
            <w:tcW w:type="dxa" w:w="2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Beobachtung</w:t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richtigen Ausdruck wählen und Papier sicher wechseln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2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Name und Karten- oder Führerscheinnummer ergänzen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2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fehlende Tätigkeiten und Zeiträume lesbar ergänzen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2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  <w:tr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Ausdruck unterschreiben und betrieblich weitergeben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  <w:tc>
          <w:tcPr>
            <w:tcW w:type="dxa" w:w="29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6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Unternehmerkontrolle und Daten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Unterweisung und regelmäßige Kontrollen bilden einen gemeinsamen Verbesserungsprozess.</w:t>
      </w:r>
    </w:p>
    <w:p>
      <w:pPr>
        <w:pStyle w:val="Heading2"/>
      </w:pPr>
      <w:r>
        <w:t>Daten- und Aufbewahrungsplan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350"/>
        <w:gridCol w:w="2600"/>
        <w:gridCol w:w="2860"/>
        <w:gridCol w:w="1550"/>
      </w:tblGrid>
      <w:tr>
        <w:trPr>
          <w:tblHeader w:val="true"/>
        </w:trP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Datensatz / Vorgang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äußerste Kopierfrist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Ablage / Verantwortung</w:t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Kontrolle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Fahrerkarte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spätestens 28 Kalendertage nach Ereignis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Massenspeicher Fahrtenschreiber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spätestens 90 Tage nach Ereignis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Sicherheitskopie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unverzüglich nach dem Kopieren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gesonderter Datenträger: __________</w:t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Schaublätter / bestimmte Ausdrucke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mindestens 1 Jahr nach Benutzung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weitere Pflichten prüfen</w:t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Mietfahrzeug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Beginn / Ende und Sonderregeln nach § 2 FPersV</w:t>
            </w:r>
          </w:p>
        </w:tc>
        <w:tc>
          <w:tcPr>
            <w:tcW w:type="dxa" w:w="2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FF4E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Keine Löschfrist aus der Tabelle ableiten: </w:t>
            </w:r>
            <w:r>
              <w:rPr>
                <w:rFonts w:ascii="Calibri" w:hAnsi="Calibri"/>
                <w:color w:val="123B52"/>
                <w:sz w:val="18"/>
              </w:rPr>
              <w:t>Die Fristen oben nennen zentrale fahrpersonalrechtliche Mindest- oder Kopiertermine. Arbeitszeit-, Mindestlohn-, Steuer-, Sozial- oder andere Vorschriften können zusätzliche Aufbewahrungspflichten auslösen. Datenschutz, Zweckbindung, Zugriff und Löschung sind im betrieblichen Konzept gemeinsam zu prüfen.</w:t>
            </w:r>
          </w:p>
        </w:tc>
      </w:tr>
    </w:tbl>
    <w:p>
      <w:pPr>
        <w:pStyle w:val="Heading2"/>
      </w:pPr>
      <w:r>
        <w:t>Regelmäßige Kontrolle nach Artikel 33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550"/>
        <w:gridCol w:w="2500"/>
        <w:gridCol w:w="2500"/>
        <w:gridCol w:w="1810"/>
      </w:tblGrid>
      <w:tr>
        <w:trPr>
          <w:tblHeader w:val="true"/>
        </w:trP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Kontrollfeld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Feststellung / Muster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Maßnahme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Termin / Review</w:t>
            </w:r>
          </w:p>
        </w:tc>
      </w:tr>
      <w:t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fehlende oder unvollständige Nachträge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falsche Tätigkeitsart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Fahrten ohne Karte / unbekannte Karte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Länder- oder Ereigniseingaben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Störungen, Ausdrucke und Werkstattweg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Download- und Sicherungsfristen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Tourenplanung oder unzulässige Anreize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Kontrollrhythmus / Stichprobe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Rückmeldung an Fahrer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Eskalation / Nachschulung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Datenschutz / Zugriffsrollen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7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Verständnis und Bedienkompetenz prüfen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Die Person erklärt Regeln in eigenen Worten und führt die gerätespezifischen Kernhandlungen selbst aus.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650"/>
        <w:gridCol w:w="5400"/>
        <w:gridCol w:w="3310"/>
      </w:tblGrid>
      <w:tr>
        <w:trPr>
          <w:tblHeader w:val="true"/>
        </w:trP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Nr.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Frage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Antwort / Beobachtung</w:t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1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Wann stecken Sie die Fahrerkarte und welchen Slot nutzen Fahrer und Beifahrer?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2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Welche Zeiten müssen Sie vor Fahrzeugübernahme manuell nachtragen?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3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Wie unterscheiden Sie andere Arbeit, Bereitschaft und Pause / Ruhe?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4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Welche Eingabe verlangt Ihr Gerät bei Tagesbeginn, Tagesende und Grenzübertritt?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5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Welche Unterlagen müssen Sie für den laufenden Tag und 56 Tage vorlegen können?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6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Was tun Sie bei Verlust, Diebstahl, Beschädigung oder Fehlfunktion der Karte?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7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Wie dokumentieren Sie Zeiten bei einer Fehlfunktion des Fahrtenschreibers?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8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Wem melden Sie Fehleingaben, Warnungen oder unvollständige Daten?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9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Warum darf Tourenplanung keinen Anreiz zur Fehlbedienung schaffen?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6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10</w:t>
            </w:r>
          </w:p>
        </w:tc>
        <w:tc>
          <w:tcPr>
            <w:tcW w:type="dxa" w:w="5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Welche Regel ist nur für Ihren Gerätetyp oder Einsatz relevant?</w:t>
            </w:r>
          </w:p>
        </w:tc>
        <w:tc>
          <w:tcPr>
            <w:tcW w:type="dxa" w:w="33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</w:tbl>
    <w:p>
      <w:pPr>
        <w:pStyle w:val="Heading2"/>
      </w:pPr>
      <w:r>
        <w:t>Praktischer Kompetenzcheck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3750"/>
        <w:gridCol w:w="950"/>
        <w:gridCol w:w="1100"/>
        <w:gridCol w:w="1450"/>
        <w:gridCol w:w="2110"/>
      </w:tblGrid>
      <w:tr>
        <w:trPr>
          <w:tblHeader w:val="true"/>
        </w:trPr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Handlung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sicher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mit Hilfe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erneut schulen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Beobachtung</w:t>
            </w:r>
          </w:p>
        </w:tc>
      </w:tr>
      <w:tr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Karte stecken und vollständigen Nachtrag durchführen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Tätigkeit, Land und gerätespezifische Eingabe setzen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Tagesabschluss und Kartenentnahme durchführen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Ausdruck bei Störung / Kartenproblem erstellen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Kontrollnachweise auffinden und geordnet erklären</w:t>
            </w:r>
          </w:p>
        </w:tc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</w:t>
            </w:r>
          </w:p>
        </w:tc>
        <w:tc>
          <w:tcPr>
            <w:tcW w:type="dxa" w:w="21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Gesamtergebnis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  [ ] eingeschränkt   [ ] Nachschulung erforderlich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Einschränkung / offene Frage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Nachschulung / erneute Prüfung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Thema: ______________________________   Termin: ________________________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8 VON 8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Unterweisungsnachweis und Quellen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Dokumentiert wird die tatsächlich durchgeführte, geräte- und einsatzbezogene Unterweisung.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Behandelte Geräte / Fahrzeuge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Tatsächlich behandelte Module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Verwendete Anleitung / Fassung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Unterweisende Person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Name / Funktion / Qualifikation: 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Nächster Prüfanlass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Kontrolle   [ ] Gerät   [ ] Regel   [ ] Einsatz   Datum: __________</w:t>
            </w:r>
          </w:p>
        </w:tc>
      </w:tr>
    </w:tbl>
    <w:p>
      <w:pPr>
        <w:pStyle w:val="Heading2"/>
      </w:pPr>
      <w:r>
        <w:t>Teilnehmende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2700"/>
        <w:gridCol w:w="2100"/>
        <w:gridCol w:w="1960"/>
      </w:tblGrid>
      <w:tr>
        <w:trPr>
          <w:tblHeader w:val="true"/>
        </w:trP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Name, Vorname</w:t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Funktion / Fahrzeuggruppe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Ergebnis</w:t>
            </w:r>
          </w:p>
        </w:tc>
        <w:tc>
          <w:tcPr>
            <w:tcW w:type="dxa" w:w="1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Bestätigung / Datum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offen</w:t>
            </w:r>
          </w:p>
        </w:tc>
        <w:tc>
          <w:tcPr>
            <w:tcW w:type="dxa" w:w="1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offen</w:t>
            </w:r>
          </w:p>
        </w:tc>
        <w:tc>
          <w:tcPr>
            <w:tcW w:type="dxa" w:w="1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offen</w:t>
            </w:r>
          </w:p>
        </w:tc>
        <w:tc>
          <w:tcPr>
            <w:tcW w:type="dxa" w:w="1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offen</w:t>
            </w:r>
          </w:p>
        </w:tc>
        <w:tc>
          <w:tcPr>
            <w:tcW w:type="dxa" w:w="1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offen</w:t>
            </w:r>
          </w:p>
        </w:tc>
        <w:tc>
          <w:tcPr>
            <w:tcW w:type="dxa" w:w="1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sicher [ ] offen</w:t>
            </w:r>
          </w:p>
        </w:tc>
        <w:tc>
          <w:tcPr>
            <w:tcW w:type="dxa" w:w="1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</w:r>
          </w:p>
        </w:tc>
      </w:tr>
    </w:tbl>
    <w:p>
      <w:pPr>
        <w:pStyle w:val="Heading2"/>
      </w:pPr>
      <w:r>
        <w:t>Primärquellen - Datenstand 11. August 2026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350"/>
        <w:gridCol w:w="3950"/>
        <w:gridCol w:w="3060"/>
      </w:tblGrid>
      <w:tr>
        <w:trPr>
          <w:tblHeader w:val="true"/>
        </w:trP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Quelle</w:t>
            </w:r>
          </w:p>
        </w:tc>
        <w:tc>
          <w:tcPr>
            <w:tcW w:type="dxa" w:w="3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Verwendung</w:t>
            </w:r>
          </w:p>
        </w:tc>
        <w:tc>
          <w:tcPr>
            <w:tcW w:type="dxa" w:w="3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Adresse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VO (EU) 165/2014, Art. 33-37</w:t>
            </w:r>
          </w:p>
        </w:tc>
        <w:tc>
          <w:tcPr>
            <w:tcW w:type="dxa" w:w="3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Unterweisung, Kontrolle, Nutzung, Nachweise, Störung</w:t>
            </w:r>
          </w:p>
        </w:tc>
        <w:tc>
          <w:tcPr>
            <w:tcW w:type="dxa" w:w="3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eur-lex.europa.eu/eli/reg/2014/165/2024-12-31/deu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§ 2 FPersV</w:t>
            </w:r>
          </w:p>
        </w:tc>
        <w:tc>
          <w:tcPr>
            <w:tcW w:type="dxa" w:w="3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Bedienung, Nachträge, Ausdrucke, 28 / 90 Tage, Sicherung</w:t>
            </w:r>
          </w:p>
        </w:tc>
        <w:tc>
          <w:tcPr>
            <w:tcW w:type="dxa" w:w="3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gesetze-im-internet.de/fpersv/__2.html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EU-Kommission Tachograph</w:t>
            </w:r>
          </w:p>
        </w:tc>
        <w:tc>
          <w:tcPr>
            <w:tcW w:type="dxa" w:w="3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Smart V2, 56 Tage und leichte Nutzfahrzeuge ab 1.7.2026</w:t>
            </w:r>
          </w:p>
        </w:tc>
        <w:tc>
          <w:tcPr>
            <w:tcW w:type="dxa" w:w="3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transport.ec.europa.eu/transport-modes/road/tachograph_en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BALM FAQ Fahrpersonalrecht</w:t>
            </w:r>
          </w:p>
        </w:tc>
        <w:tc>
          <w:tcPr>
            <w:tcW w:type="dxa" w:w="3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Amtliche Praxishinweise zu Nachträgen und Artikel 33</w:t>
            </w:r>
          </w:p>
        </w:tc>
        <w:tc>
          <w:tcPr>
            <w:tcW w:type="dxa" w:w="3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balm.bund.de/DE/Service/FragenAntwortenFAQ/</w:t>
            </w:r>
          </w:p>
        </w:tc>
      </w:tr>
      <w:tr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§ 12 ArbSchG</w:t>
            </w:r>
          </w:p>
        </w:tc>
        <w:tc>
          <w:tcPr>
            <w:tcW w:type="dxa" w:w="3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ergänzende arbeitsplatz- und aufgabenbezogene Unterweisung</w:t>
            </w:r>
          </w:p>
        </w:tc>
        <w:tc>
          <w:tcPr>
            <w:tcW w:type="dxa" w:w="3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gesetze-im-internet.de/arbschg/__12.html</w:t>
            </w:r>
          </w:p>
        </w:tc>
      </w:tr>
    </w:tbl>
    <w:p>
      <w:pPr>
        <w:pStyle w:val="Heading2"/>
      </w:pPr>
      <w:r>
        <w:t>Versionsverlauf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1200"/>
        <w:gridCol w:w="1800"/>
        <w:gridCol w:w="4200"/>
        <w:gridCol w:w="2160"/>
      </w:tblGrid>
      <w:tr>
        <w:trPr>
          <w:tblHeader w:val="true"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Version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Datum</w:t>
            </w:r>
          </w:p>
        </w:tc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Änderung / Anlass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geprüft / freigegeben</w:t>
            </w:r>
          </w:p>
        </w:tc>
      </w:tr>
      <w:t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1.0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11. August 2026</w:t>
            </w:r>
          </w:p>
        </w:tc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Redaktionelle Ausgangsvorlage</w:t>
            </w:r>
          </w:p>
        </w:tc>
        <w:tc>
          <w:tcPr>
            <w:tcW w:type="dxa" w:w="2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Redaktioneller Hinweis: </w:t>
            </w:r>
            <w:r>
              <w:rPr>
                <w:rFonts w:ascii="Calibri" w:hAnsi="Calibri"/>
                <w:color w:val="123B52"/>
                <w:sz w:val="18"/>
              </w:rPr>
              <w:t>Vor jeder Verwendung sind aktueller Rechtsstand, Anwendungsbereich, Geräteanleitung, Fahrereinsatz und betriebliche Vorgaben zu prüfen. Die Vorlage ersetzt keine Rechtsberatung, keine Fachkunde und keine praktische Einweisung am eingesetzten Gerät.</w:t>
            </w:r>
          </w:p>
        </w:tc>
      </w:tr>
    </w:tbl>
    <w:sectPr>
      <w:headerReference w:type="default" r:id="rId9"/>
      <w:footerReference w:type="default" r:id="rId10"/>
      <w:pgSz w:w="11906" w:h="16838"/>
      <w:pgMar w:top="1296" w:right="1273" w:bottom="1296" w:left="1273" w:header="547" w:footer="54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color w:val="667085"/>
        <w:sz w:val="16"/>
      </w:rPr>
      <w:t xml:space="preserve">ArbeitsschutzPilot | Unterweisung digitaler Tachograph | Seite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pBdr>
        <w:bottom w:val="single" w:sz="6" w:space="5" w:color="B7C3CE"/>
      </w:pBdr>
    </w:pPr>
    <w:r>
      <w:rPr>
        <w:rFonts w:ascii="Calibri" w:hAnsi="Calibri"/>
        <w:b/>
        <w:color w:val="123B52"/>
        <w:sz w:val="16"/>
      </w:rPr>
      <w:t>ARBEITSSCHUTZPILOT</w:t>
    </w:r>
    <w:r>
      <w:rPr>
        <w:rFonts w:ascii="Calibri" w:hAnsi="Calibri"/>
        <w:color w:val="667085"/>
        <w:sz w:val="16"/>
      </w:rPr>
      <w:t xml:space="preserve">   |   Arbeitsbuch Fahrtenschreiber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pPr>
        <w:ind w:left="540" w:hanging="270"/>
      </w:pPr>
    </w:lvl>
  </w:abstractNum>
  <w:abstractNum w:abstractNumId="10">
    <w:lvl w:ilvl="0">
      <w:start w:val="1"/>
      <w:numFmt w:val="decimal"/>
      <w:lvlText w:val="%1."/>
      <w:pPr>
        <w:ind w:left="540" w:hanging="270"/>
      </w:pPr>
    </w:lvl>
  </w:abstract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 digitaler Tachograph Vorlage</dc:title>
  <dc:subject>Arbeitsbuch für geräte- und einsatzbezogene Fahrtenschreiber-Unterweisungen</dc:subject>
  <dc:creator/>
  <cp:keywords>digitaler Tachograph, Fahrtenschreiber, Unterweisung, Fahrerkarte, Artikel 33</cp:keywords>
  <dc:description>Redaktionelle Arbeitshilfe - Stand 11. August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