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 w:val="0"/>
        <w:spacing w:before="0" w:after="40" w:line="240" w:lineRule="auto"/>
        <w:jc w:val="center"/>
      </w:pPr>
      <w:r>
        <w:rPr>
          <w:rFonts w:ascii="Calibri" w:hAnsi="Calibri"/>
          <w:b/>
          <w:color w:val="B42318"/>
          <w:sz w:val="18"/>
        </w:rPr>
        <w:t>BRANDSCHUTZ - EIN-SEITEN-VORLAGE</w:t>
      </w:r>
    </w:p>
    <w:p>
      <w:pPr>
        <w:keepNext w:val="0"/>
        <w:spacing w:before="0" w:after="80" w:line="240" w:lineRule="auto"/>
        <w:jc w:val="center"/>
      </w:pPr>
      <w:r>
        <w:rPr>
          <w:rFonts w:ascii="Calibri" w:hAnsi="Calibri"/>
          <w:b/>
          <w:color w:val="B42318"/>
          <w:sz w:val="52"/>
        </w:rPr>
        <w:t>VERHALTEN IM BRANDFALL</w:t>
      </w:r>
    </w:p>
    <w:p>
      <w:pPr>
        <w:keepNext w:val="0"/>
        <w:spacing w:before="0" w:after="180" w:line="240" w:lineRule="auto"/>
        <w:jc w:val="center"/>
      </w:pPr>
      <w:r>
        <w:rPr>
          <w:rFonts w:ascii="Calibri" w:hAnsi="Calibri"/>
          <w:b/>
          <w:color w:val="123B52"/>
          <w:sz w:val="25"/>
        </w:rPr>
        <w:t>Ruhe bewahren - schnell und sicher handeln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B7C3CE"/>
          <w:left w:val="single" w:sz="6" w:space="0" w:color="B7C3CE"/>
          <w:bottom w:val="single" w:sz="6" w:space="0" w:color="B7C3CE"/>
          <w:right w:val="single" w:sz="6" w:space="0" w:color="B7C3CE"/>
          <w:insideH w:val="single" w:sz="6" w:space="0" w:color="B7C3CE"/>
          <w:insideV w:val="single" w:sz="6" w:space="0" w:color="B7C3CE"/>
        </w:tblBorders>
      </w:tblPr>
      <w:tblGrid>
        <w:gridCol w:w="4680"/>
        <w:gridCol w:w="4680"/>
      </w:tblGrid>
      <w:tr>
        <w:tc>
          <w:tcPr>
            <w:tcW w:type="dxa" w:w="468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OBJEKT / GEBÄUDE: __________________________________</w:t>
            </w:r>
          </w:p>
        </w:tc>
        <w:tc>
          <w:tcPr>
            <w:tcW w:type="dxa" w:w="468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BEREICH / ETAGE: _________________________________</w:t>
            </w:r>
          </w:p>
        </w:tc>
      </w:tr>
    </w:tbl>
    <w:p>
      <w:pPr>
        <w:spacing w:after="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12" w:space="0" w:color="B42318"/>
          <w:left w:val="single" w:sz="12" w:space="0" w:color="B42318"/>
          <w:bottom w:val="single" w:sz="12" w:space="0" w:color="B42318"/>
          <w:right w:val="single" w:sz="12" w:space="0" w:color="B42318"/>
          <w:insideH w:val="single" w:sz="12" w:space="0" w:color="B42318"/>
          <w:insideV w:val="single" w:sz="12" w:space="0" w:color="B42318"/>
        </w:tblBorders>
      </w:tblPr>
      <w:tblGrid>
        <w:gridCol w:w="1050"/>
        <w:gridCol w:w="8310"/>
      </w:tblGrid>
      <w:tr>
        <w:tc>
          <w:tcPr>
            <w:tcW w:type="dxa" w:w="10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B42318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color w:val="FFFFFF"/>
                <w:sz w:val="50"/>
              </w:rPr>
              <w:t>1</w:t>
            </w:r>
          </w:p>
        </w:tc>
        <w:tc>
          <w:tcPr>
            <w:tcW w:type="dxa" w:w="83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EF3F2"/>
          </w:tcPr>
          <w:p>
            <w:pPr>
              <w:keepNext w:val="0"/>
              <w:spacing w:before="0" w:after="60" w:line="240" w:lineRule="auto"/>
            </w:pPr>
            <w:r/>
            <w:r>
              <w:rPr>
                <w:rFonts w:ascii="Calibri" w:hAnsi="Calibri"/>
                <w:b/>
                <w:color w:val="B42318"/>
                <w:sz w:val="28"/>
              </w:rPr>
              <w:t>BRAND MELDEN</w:t>
            </w:r>
          </w:p>
          <w:p>
            <w:pPr>
              <w:keepNext w:val="0"/>
              <w:spacing w:before="0" w:after="50" w:line="259" w:lineRule="auto"/>
              <w:numPr>
                <w:ilvl w:val="0"/>
                <w:numId w:val="10"/>
              </w:numPr>
            </w:pPr>
            <w:r>
              <w:rPr>
                <w:rFonts w:ascii="Calibri" w:hAnsi="Calibri"/>
                <w:color w:val="123B52"/>
                <w:sz w:val="18"/>
              </w:rPr>
              <w:t>Alarm auslösen: [ ] Handfeuermelder   [ ] Hausalarm   [ ] interner Meldeweg: ______________</w:t>
            </w:r>
          </w:p>
          <w:p>
            <w:pPr>
              <w:keepNext w:val="0"/>
              <w:spacing w:before="0" w:after="50" w:line="259" w:lineRule="auto"/>
              <w:numPr>
                <w:ilvl w:val="0"/>
                <w:numId w:val="10"/>
              </w:numPr>
            </w:pPr>
            <w:r>
              <w:rPr>
                <w:rFonts w:ascii="Calibri" w:hAnsi="Calibri"/>
                <w:color w:val="123B52"/>
                <w:sz w:val="18"/>
              </w:rPr>
              <w:t>Notruf 112 wählen und die Erreichbarkeit aus der betrieblichen Telefonanlage vorab prüfen.</w:t>
            </w:r>
          </w:p>
          <w:p>
            <w:pPr>
              <w:keepNext w:val="0"/>
              <w:spacing w:before="0" w:after="50" w:line="259" w:lineRule="auto"/>
              <w:numPr>
                <w:ilvl w:val="0"/>
                <w:numId w:val="10"/>
              </w:numPr>
            </w:pPr>
            <w:r>
              <w:rPr>
                <w:rFonts w:ascii="Calibri" w:hAnsi="Calibri"/>
                <w:color w:val="123B52"/>
                <w:sz w:val="18"/>
              </w:rPr>
              <w:t>Ort, Ereignis, betroffene Personen und besondere Gefahren nennen; Rückfragen abwarten.</w:t>
            </w:r>
          </w:p>
        </w:tc>
      </w:tr>
    </w:tbl>
    <w:p>
      <w:pPr>
        <w:spacing w:after="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12" w:space="0" w:color="067647"/>
          <w:left w:val="single" w:sz="12" w:space="0" w:color="067647"/>
          <w:bottom w:val="single" w:sz="12" w:space="0" w:color="067647"/>
          <w:right w:val="single" w:sz="12" w:space="0" w:color="067647"/>
          <w:insideH w:val="single" w:sz="12" w:space="0" w:color="067647"/>
          <w:insideV w:val="single" w:sz="12" w:space="0" w:color="067647"/>
        </w:tblBorders>
      </w:tblPr>
      <w:tblGrid>
        <w:gridCol w:w="1050"/>
        <w:gridCol w:w="8310"/>
      </w:tblGrid>
      <w:tr>
        <w:tc>
          <w:tcPr>
            <w:tcW w:type="dxa" w:w="10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067647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color w:val="FFFFFF"/>
                <w:sz w:val="50"/>
              </w:rPr>
              <w:t>2</w:t>
            </w:r>
          </w:p>
        </w:tc>
        <w:tc>
          <w:tcPr>
            <w:tcW w:type="dxa" w:w="83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CFDF3"/>
          </w:tcPr>
          <w:p>
            <w:pPr>
              <w:keepNext w:val="0"/>
              <w:spacing w:before="0" w:after="60" w:line="240" w:lineRule="auto"/>
            </w:pPr>
            <w:r/>
            <w:r>
              <w:rPr>
                <w:rFonts w:ascii="Calibri" w:hAnsi="Calibri"/>
                <w:b/>
                <w:color w:val="067647"/>
                <w:sz w:val="28"/>
              </w:rPr>
              <w:t>IN SICHERHEIT BRINGEN</w:t>
            </w:r>
          </w:p>
          <w:p>
            <w:pPr>
              <w:keepNext w:val="0"/>
              <w:spacing w:before="0" w:after="50" w:line="259" w:lineRule="auto"/>
              <w:numPr>
                <w:ilvl w:val="0"/>
                <w:numId w:val="10"/>
              </w:numPr>
            </w:pPr>
            <w:r>
              <w:rPr>
                <w:rFonts w:ascii="Calibri" w:hAnsi="Calibri"/>
                <w:color w:val="123B52"/>
                <w:sz w:val="18"/>
              </w:rPr>
              <w:t>Gefährdete Personen warnen; hilfsbedürftige Personen nach der betrieblichen Regel unterstützen.</w:t>
            </w:r>
          </w:p>
          <w:p>
            <w:pPr>
              <w:keepNext w:val="0"/>
              <w:spacing w:before="0" w:after="50" w:line="259" w:lineRule="auto"/>
              <w:numPr>
                <w:ilvl w:val="0"/>
                <w:numId w:val="10"/>
              </w:numPr>
            </w:pPr>
            <w:r>
              <w:rPr>
                <w:rFonts w:ascii="Calibri" w:hAnsi="Calibri"/>
                <w:color w:val="123B52"/>
                <w:sz w:val="18"/>
              </w:rPr>
              <w:t>Türen schließen, gekennzeichnete Fluchtwege benutzen und den Bereich zügig verlassen.</w:t>
            </w:r>
          </w:p>
          <w:p>
            <w:pPr>
              <w:keepNext w:val="0"/>
              <w:spacing w:before="0" w:after="50" w:line="259" w:lineRule="auto"/>
              <w:numPr>
                <w:ilvl w:val="0"/>
                <w:numId w:val="10"/>
              </w:numPr>
            </w:pPr>
            <w:r>
              <w:rPr>
                <w:rFonts w:ascii="Calibri" w:hAnsi="Calibri"/>
                <w:color w:val="123B52"/>
                <w:sz w:val="18"/>
              </w:rPr>
              <w:t>Aufzüge: [ ] nicht benutzen   [ ] am Standort nicht vorhanden / nicht relevant</w:t>
            </w:r>
          </w:p>
          <w:p>
            <w:pPr>
              <w:keepNext w:val="0"/>
              <w:spacing w:before="0" w:after="50" w:line="259" w:lineRule="auto"/>
              <w:numPr>
                <w:ilvl w:val="0"/>
                <w:numId w:val="10"/>
              </w:numPr>
            </w:pPr>
            <w:r>
              <w:rPr>
                <w:rFonts w:ascii="Calibri" w:hAnsi="Calibri"/>
                <w:color w:val="123B52"/>
                <w:sz w:val="18"/>
              </w:rPr>
              <w:t>Sammelstelle aufsuchen, Vollständigkeit unterstützen und Gebäude nicht eigenmächtig betreten.</w:t>
            </w:r>
          </w:p>
        </w:tc>
      </w:tr>
    </w:tbl>
    <w:p>
      <w:pPr>
        <w:spacing w:after="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12" w:space="0" w:color="B54708"/>
          <w:left w:val="single" w:sz="12" w:space="0" w:color="B54708"/>
          <w:bottom w:val="single" w:sz="12" w:space="0" w:color="B54708"/>
          <w:right w:val="single" w:sz="12" w:space="0" w:color="B54708"/>
          <w:insideH w:val="single" w:sz="12" w:space="0" w:color="B54708"/>
          <w:insideV w:val="single" w:sz="12" w:space="0" w:color="B54708"/>
        </w:tblBorders>
      </w:tblPr>
      <w:tblGrid>
        <w:gridCol w:w="1050"/>
        <w:gridCol w:w="8310"/>
      </w:tblGrid>
      <w:tr>
        <w:tc>
          <w:tcPr>
            <w:tcW w:type="dxa" w:w="10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B54708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color w:val="FFFFFF"/>
                <w:sz w:val="50"/>
              </w:rPr>
              <w:t>3</w:t>
            </w:r>
          </w:p>
        </w:tc>
        <w:tc>
          <w:tcPr>
            <w:tcW w:type="dxa" w:w="83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FFAEB"/>
          </w:tcPr>
          <w:p>
            <w:pPr>
              <w:keepNext w:val="0"/>
              <w:spacing w:before="0" w:after="60" w:line="240" w:lineRule="auto"/>
            </w:pPr>
            <w:r/>
            <w:r>
              <w:rPr>
                <w:rFonts w:ascii="Calibri" w:hAnsi="Calibri"/>
                <w:b/>
                <w:color w:val="B54708"/>
                <w:sz w:val="28"/>
              </w:rPr>
              <w:t>LÖSCHVERSUCH NUR OHNE EIGENGEFÄHRDUNG</w:t>
            </w:r>
          </w:p>
          <w:p>
            <w:pPr>
              <w:keepNext w:val="0"/>
              <w:spacing w:before="0" w:after="50" w:line="259" w:lineRule="auto"/>
              <w:numPr>
                <w:ilvl w:val="0"/>
                <w:numId w:val="10"/>
              </w:numPr>
            </w:pPr>
            <w:r>
              <w:rPr>
                <w:rFonts w:ascii="Calibri" w:hAnsi="Calibri"/>
                <w:color w:val="123B52"/>
                <w:sz w:val="18"/>
              </w:rPr>
              <w:t>Erst alarmieren und Personen in Sicherheit bringen; sicheren Rückweg freihalten.</w:t>
            </w:r>
          </w:p>
          <w:p>
            <w:pPr>
              <w:keepNext w:val="0"/>
              <w:spacing w:before="0" w:after="50" w:line="259" w:lineRule="auto"/>
              <w:numPr>
                <w:ilvl w:val="0"/>
                <w:numId w:val="10"/>
              </w:numPr>
            </w:pPr>
            <w:r>
              <w:rPr>
                <w:rFonts w:ascii="Calibri" w:hAnsi="Calibri"/>
                <w:color w:val="123B52"/>
                <w:sz w:val="18"/>
              </w:rPr>
              <w:t>Nur geeignete, vorhandene Löscheinrichtungen nach betrieblicher Einweisung einsetzen.</w:t>
            </w:r>
          </w:p>
          <w:p>
            <w:pPr>
              <w:keepNext w:val="0"/>
              <w:spacing w:before="0" w:after="50" w:line="259" w:lineRule="auto"/>
              <w:numPr>
                <w:ilvl w:val="0"/>
                <w:numId w:val="10"/>
              </w:numPr>
            </w:pPr>
            <w:r>
              <w:rPr>
                <w:rFonts w:ascii="Calibri" w:hAnsi="Calibri"/>
                <w:color w:val="123B52"/>
                <w:sz w:val="18"/>
              </w:rPr>
              <w:t>Bei Rauch, schneller Brandausbreitung oder Unsicherheit sofort zurückziehen und Feuerwehr einweisen.</w:t>
            </w:r>
          </w:p>
        </w:tc>
      </w:tr>
    </w:tbl>
    <w:p>
      <w:pPr>
        <w:spacing w:after="0"/>
      </w:pPr>
    </w:p>
    <w:p>
      <w:pPr>
        <w:keepNext w:val="0"/>
        <w:spacing w:before="20" w:after="80" w:line="240" w:lineRule="auto"/>
      </w:pPr>
      <w:r>
        <w:rPr>
          <w:rFonts w:ascii="Calibri" w:hAnsi="Calibri"/>
          <w:b/>
          <w:color w:val="B54708"/>
          <w:sz w:val="23"/>
        </w:rPr>
        <w:t>VOR AUSHANG STANDORTBEZOGEN AUSFÜLLEN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6BB98"/>
          <w:left w:val="single" w:sz="6" w:space="0" w:color="D6BB98"/>
          <w:bottom w:val="single" w:sz="6" w:space="0" w:color="D6BB98"/>
          <w:right w:val="single" w:sz="6" w:space="0" w:color="D6BB98"/>
          <w:insideH w:val="single" w:sz="6" w:space="0" w:color="D6BB98"/>
          <w:insideV w:val="single" w:sz="6" w:space="0" w:color="D6BB98"/>
        </w:tblBorders>
      </w:tblPr>
      <w:tblGrid>
        <w:gridCol w:w="3150"/>
        <w:gridCol w:w="6210"/>
      </w:tblGrid>
      <w:tr>
        <w:tc>
          <w:tcPr>
            <w:tcW w:type="dxa" w:w="3150"/>
            <w:shd w:fill="FFFAEB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7A271A"/>
                <w:sz w:val="16"/>
              </w:rPr>
              <w:t>Objektadresse für den Notruf</w:t>
            </w:r>
          </w:p>
        </w:tc>
        <w:tc>
          <w:tcPr>
            <w:tcW w:type="dxa" w:w="62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_______________________________________________________________</w:t>
            </w:r>
          </w:p>
        </w:tc>
      </w:tr>
      <w:tr>
        <w:tc>
          <w:tcPr>
            <w:tcW w:type="dxa" w:w="3150"/>
            <w:shd w:fill="FFFAEB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7A271A"/>
                <w:sz w:val="16"/>
              </w:rPr>
              <w:t>Sammelstelle</w:t>
            </w:r>
          </w:p>
        </w:tc>
        <w:tc>
          <w:tcPr>
            <w:tcW w:type="dxa" w:w="62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_______________________________________________________________</w:t>
            </w:r>
          </w:p>
        </w:tc>
      </w:tr>
      <w:tr>
        <w:tc>
          <w:tcPr>
            <w:tcW w:type="dxa" w:w="3150"/>
            <w:shd w:fill="FFFAEB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7A271A"/>
                <w:sz w:val="16"/>
              </w:rPr>
              <w:t>Interner Alarmweg / Kontakt</w:t>
            </w:r>
          </w:p>
        </w:tc>
        <w:tc>
          <w:tcPr>
            <w:tcW w:type="dxa" w:w="62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_______________________________________________________________</w:t>
            </w:r>
          </w:p>
        </w:tc>
      </w:tr>
      <w:tr>
        <w:tc>
          <w:tcPr>
            <w:tcW w:type="dxa" w:w="3150"/>
            <w:shd w:fill="FFFAEB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7A271A"/>
                <w:sz w:val="16"/>
              </w:rPr>
              <w:t>Version / Freigabe / Aushangort</w:t>
            </w:r>
          </w:p>
        </w:tc>
        <w:tc>
          <w:tcPr>
            <w:tcW w:type="dxa" w:w="62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_______________________________________________________________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FDA29B"/>
          <w:left w:val="single" w:sz="6" w:space="0" w:color="FDA29B"/>
          <w:bottom w:val="single" w:sz="6" w:space="0" w:color="FDA29B"/>
          <w:right w:val="single" w:sz="6" w:space="0" w:color="FDA29B"/>
          <w:insideH w:val="single" w:sz="6" w:space="0" w:color="FDA29B"/>
          <w:insideV w:val="single" w:sz="6" w:space="0" w:color="FDA29B"/>
        </w:tblBorders>
      </w:tblPr>
      <w:tblGrid>
        <w:gridCol w:w="9360"/>
      </w:tblGrid>
      <w:tr>
        <w:tc>
          <w:tcPr>
            <w:tcW w:type="dxa" w:w="9360"/>
            <w:shd w:fill="FEF3F2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0" w:lineRule="auto"/>
            </w:pPr>
            <w:r/>
            <w:r>
              <w:rPr>
                <w:rFonts w:ascii="Calibri" w:hAnsi="Calibri"/>
                <w:b/>
                <w:color w:val="7A271A"/>
                <w:sz w:val="15"/>
              </w:rPr>
              <w:t xml:space="preserve">Prüfgrenze: </w:t>
            </w:r>
            <w:r>
              <w:rPr>
                <w:rFonts w:ascii="Calibri" w:hAnsi="Calibri"/>
                <w:color w:val="7A271A"/>
                <w:sz w:val="15"/>
              </w:rPr>
              <w:t>Diese Vorlage ist keine Konformitätszusage nach DIN 14096. Vor der Freigabe mit Gefährdungsbeurteilung, Brandschutzordnung, Alarmierung, Flucht- und Rettungsplan, vorhandenen Einrichtungen und Objektvorgaben abgleichen. Bei Sonderbauten oder komplexer Evakuierung fachkundig prüfen lassen.</w:t>
            </w:r>
          </w:p>
        </w:tc>
      </w:tr>
    </w:tbl>
    <w:sectPr>
      <w:headerReference w:type="default" r:id="rId9"/>
      <w:footerReference w:type="default" r:id="rId10"/>
      <w:pgSz w:w="11906" w:h="16838"/>
      <w:pgMar w:top="1440" w:right="1273" w:bottom="1440" w:left="1273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keepNext w:val="0"/>
      <w:spacing w:before="0" w:after="0" w:line="240" w:lineRule="auto"/>
      <w:jc w:val="center"/>
    </w:pPr>
    <w:r>
      <w:rPr>
        <w:rFonts w:ascii="Calibri" w:hAnsi="Calibri"/>
        <w:color w:val="667085"/>
        <w:sz w:val="16"/>
      </w:rPr>
      <w:t>Vor Aushang fachlich prüfen | Version, Standort und Freigabe unten eintragen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keepNext w:val="0"/>
      <w:spacing w:before="0" w:after="0" w:line="240" w:lineRule="auto"/>
      <w:pBdr>
        <w:bottom w:val="single" w:sz="6" w:space="5" w:color="B7C3CE"/>
      </w:pBdr>
    </w:pPr>
    <w:r>
      <w:rPr>
        <w:rFonts w:ascii="Calibri" w:hAnsi="Calibri"/>
        <w:b/>
        <w:color w:val="123B52"/>
        <w:sz w:val="16"/>
      </w:rPr>
      <w:t>ARBEITSSCHUTZPILOT</w:t>
    </w:r>
    <w:r>
      <w:rPr>
        <w:rFonts w:ascii="Calibri" w:hAnsi="Calibri"/>
        <w:color w:val="667085"/>
        <w:sz w:val="16"/>
      </w:rPr>
      <w:t xml:space="preserve">   |   Entwurfsvorlage für den betrieblichen Aushang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lvl w:ilvl="0">
      <w:start w:val="1"/>
      <w:numFmt w:val="bullet"/>
      <w:lvlText w:val="•"/>
      <w:pPr>
        <w:ind w:left="540" w:hanging="270"/>
      </w:pPr>
    </w:lvl>
  </w:abstractNum>
  <w:abstractNum w:abstractNumId="10">
    <w:lvl w:ilvl="0">
      <w:start w:val="1"/>
      <w:numFmt w:val="decimal"/>
      <w:lvlText w:val="%1."/>
      <w:pPr>
        <w:ind w:left="540" w:hanging="270"/>
      </w:pPr>
    </w:lvl>
  </w:abstract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sz w:val="22"/>
      <w:lang w:val="de-D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Verhalten im Brandfall Aushang Vorlage</dc:title>
  <dc:subject>Bearbeitbare Ein-Seiten-Vorlage für einen standortbezogenen Brandfall-Aushang</dc:subject>
  <dc:creator/>
  <cp:keywords>Verhalten im Brandfall, Aushang, Vorlage, Brandschutz, Notruf, Sammelstelle</cp:keywords>
  <dc:description>Redaktionelle Arbeitshilfe - Stand 11. August 2026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